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817F16">
        <w:rPr>
          <w:rFonts w:ascii="Times New Roman" w:hAnsi="Times New Roman" w:cs="Times New Roman"/>
          <w:sz w:val="24"/>
          <w:szCs w:val="24"/>
        </w:rPr>
        <w:t>5</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A78F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Zabezpieczenie przed wilgocią budynku nr 386</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r w:rsidR="0051343C">
        <w:rPr>
          <w:rFonts w:ascii="Times New Roman" w:hAnsi="Times New Roman" w:cs="Times New Roman"/>
          <w:b/>
          <w:bCs/>
          <w:sz w:val="32"/>
          <w:szCs w:val="32"/>
        </w:rPr>
        <w:t xml:space="preserve">6 Szpitala Wojskowego z Przychodnią – SP ZOZ w Dęblinie, </w:t>
      </w:r>
      <w:r w:rsidR="00861119">
        <w:rPr>
          <w:rFonts w:ascii="Times New Roman" w:hAnsi="Times New Roman" w:cs="Times New Roman"/>
          <w:b/>
          <w:bCs/>
          <w:sz w:val="32"/>
          <w:szCs w:val="32"/>
        </w:rPr>
        <w:br/>
      </w:r>
      <w:r w:rsidR="0051343C">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B8085E">
        <w:rPr>
          <w:rFonts w:ascii="Times New Roman" w:hAnsi="Times New Roman" w:cs="Times New Roman"/>
          <w:i/>
          <w:iCs/>
          <w:sz w:val="24"/>
          <w:szCs w:val="24"/>
        </w:rPr>
        <w:t xml:space="preserve">320000-6 </w:t>
      </w:r>
      <w:r>
        <w:rPr>
          <w:rFonts w:ascii="Times New Roman" w:hAnsi="Times New Roman" w:cs="Times New Roman"/>
          <w:i/>
          <w:iCs/>
          <w:sz w:val="24"/>
          <w:szCs w:val="24"/>
        </w:rPr>
        <w:t xml:space="preserve">Roboty </w:t>
      </w:r>
      <w:r w:rsidR="00B8085E">
        <w:rPr>
          <w:rFonts w:ascii="Times New Roman" w:hAnsi="Times New Roman" w:cs="Times New Roman"/>
          <w:i/>
          <w:iCs/>
          <w:sz w:val="24"/>
          <w:szCs w:val="24"/>
        </w:rPr>
        <w:t>izolacyjne</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w:t>
      </w:r>
      <w:bookmarkStart w:id="0" w:name="_GoBack"/>
      <w:bookmarkEnd w:id="0"/>
      <w:r w:rsidRPr="00B26853">
        <w:rPr>
          <w:rFonts w:ascii="Times New Roman" w:hAnsi="Times New Roman" w:cs="Times New Roman"/>
          <w:b/>
          <w:bCs/>
          <w:i/>
          <w:iCs/>
          <w:sz w:val="28"/>
          <w:szCs w:val="28"/>
          <w:lang w:eastAsia="pl-PL"/>
        </w:rPr>
        <w:t xml:space="preserve">Publicznych  w dniu </w:t>
      </w:r>
      <w:r w:rsidR="00B26853" w:rsidRPr="00B26853">
        <w:rPr>
          <w:rFonts w:ascii="Times New Roman" w:hAnsi="Times New Roman" w:cs="Times New Roman"/>
          <w:b/>
          <w:bCs/>
          <w:i/>
          <w:iCs/>
          <w:sz w:val="28"/>
          <w:szCs w:val="28"/>
          <w:lang w:eastAsia="pl-PL"/>
        </w:rPr>
        <w:t>26</w:t>
      </w:r>
      <w:r w:rsidRPr="00B26853">
        <w:rPr>
          <w:rFonts w:ascii="Times New Roman" w:hAnsi="Times New Roman" w:cs="Times New Roman"/>
          <w:b/>
          <w:bCs/>
          <w:i/>
          <w:iCs/>
          <w:sz w:val="28"/>
          <w:szCs w:val="28"/>
          <w:lang w:eastAsia="pl-PL"/>
        </w:rPr>
        <w:t>/</w:t>
      </w:r>
      <w:r w:rsidR="00623BA4" w:rsidRPr="00B26853">
        <w:rPr>
          <w:rFonts w:ascii="Times New Roman" w:hAnsi="Times New Roman" w:cs="Times New Roman"/>
          <w:b/>
          <w:bCs/>
          <w:i/>
          <w:iCs/>
          <w:sz w:val="28"/>
          <w:szCs w:val="28"/>
          <w:lang w:eastAsia="pl-PL"/>
        </w:rPr>
        <w:t>0</w:t>
      </w:r>
      <w:r w:rsidR="00817F16" w:rsidRPr="00B26853">
        <w:rPr>
          <w:rFonts w:ascii="Times New Roman" w:hAnsi="Times New Roman" w:cs="Times New Roman"/>
          <w:b/>
          <w:bCs/>
          <w:i/>
          <w:iCs/>
          <w:sz w:val="28"/>
          <w:szCs w:val="28"/>
          <w:lang w:eastAsia="pl-PL"/>
        </w:rPr>
        <w:t>2</w:t>
      </w:r>
      <w:r w:rsidRPr="00B26853">
        <w:rPr>
          <w:rFonts w:ascii="Times New Roman" w:hAnsi="Times New Roman" w:cs="Times New Roman"/>
          <w:b/>
          <w:bCs/>
          <w:i/>
          <w:iCs/>
          <w:sz w:val="28"/>
          <w:szCs w:val="28"/>
          <w:lang w:eastAsia="pl-PL"/>
        </w:rPr>
        <w:t>/201</w:t>
      </w:r>
      <w:r w:rsidR="008D49B7" w:rsidRPr="00B26853">
        <w:rPr>
          <w:rFonts w:ascii="Times New Roman" w:hAnsi="Times New Roman" w:cs="Times New Roman"/>
          <w:b/>
          <w:bCs/>
          <w:i/>
          <w:iCs/>
          <w:sz w:val="28"/>
          <w:szCs w:val="28"/>
          <w:lang w:eastAsia="pl-PL"/>
        </w:rPr>
        <w:t>9</w:t>
      </w:r>
      <w:r w:rsidRPr="00B26853">
        <w:rPr>
          <w:rFonts w:ascii="Times New Roman" w:hAnsi="Times New Roman" w:cs="Times New Roman"/>
          <w:b/>
          <w:bCs/>
          <w:i/>
          <w:iCs/>
          <w:sz w:val="28"/>
          <w:szCs w:val="28"/>
          <w:lang w:eastAsia="pl-PL"/>
        </w:rPr>
        <w:t>, pod numerem</w:t>
      </w:r>
      <w:r w:rsidR="00B26853" w:rsidRPr="00B26853">
        <w:rPr>
          <w:rFonts w:ascii="Times New Roman" w:hAnsi="Times New Roman" w:cs="Times New Roman"/>
          <w:b/>
          <w:bCs/>
          <w:i/>
          <w:iCs/>
          <w:sz w:val="28"/>
          <w:szCs w:val="28"/>
          <w:lang w:eastAsia="pl-PL"/>
        </w:rPr>
        <w:t xml:space="preserve"> 517945-N</w:t>
      </w:r>
      <w:r w:rsidRPr="00B26853">
        <w:rPr>
          <w:rFonts w:ascii="Times New Roman" w:hAnsi="Times New Roman" w:cs="Times New Roman"/>
          <w:b/>
          <w:bCs/>
          <w:i/>
          <w:iCs/>
          <w:sz w:val="28"/>
          <w:szCs w:val="28"/>
        </w:rPr>
        <w:t>-201</w:t>
      </w:r>
      <w:r w:rsidR="008D49B7" w:rsidRPr="00B26853">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817F16"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B8085E">
        <w:rPr>
          <w:bCs/>
        </w:rPr>
        <w:t>z</w:t>
      </w:r>
      <w:r w:rsidR="00B8085E" w:rsidRPr="00B8085E">
        <w:rPr>
          <w:bCs/>
        </w:rPr>
        <w:t xml:space="preserve">abezpieczenie przed wilgocią budynku nr 386, </w:t>
      </w:r>
      <w:r w:rsidR="00B8085E" w:rsidRPr="00B8085E">
        <w:rPr>
          <w:bCs/>
        </w:rPr>
        <w:br/>
        <w:t>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B8085E" w:rsidRPr="00B8085E">
        <w:rPr>
          <w:iCs/>
        </w:rPr>
        <w:t>45320000-6 Roboty izolacyjne</w:t>
      </w:r>
      <w:r w:rsidR="00DF6616">
        <w:rPr>
          <w:iCs/>
        </w:rPr>
        <w:t>.</w:t>
      </w:r>
    </w:p>
    <w:p w:rsidR="00BE28DE" w:rsidRPr="003F50FE"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3F50FE">
        <w:rPr>
          <w:rFonts w:ascii="Times New Roman" w:hAnsi="Times New Roman" w:cs="Times New Roman"/>
          <w:sz w:val="24"/>
          <w:szCs w:val="24"/>
        </w:rPr>
        <w:t>Szczegółowy opis przedmiotu zamówienia został określony w</w:t>
      </w:r>
      <w:r w:rsidR="0094715B" w:rsidRPr="003F50FE">
        <w:rPr>
          <w:rFonts w:ascii="Times New Roman" w:hAnsi="Times New Roman" w:cs="Times New Roman"/>
          <w:sz w:val="24"/>
          <w:szCs w:val="24"/>
        </w:rPr>
        <w:t xml:space="preserve"> </w:t>
      </w:r>
      <w:r w:rsidR="0094715B" w:rsidRPr="003F50FE">
        <w:rPr>
          <w:rFonts w:ascii="Times New Roman" w:hAnsi="Times New Roman" w:cs="Times New Roman"/>
          <w:b/>
          <w:sz w:val="24"/>
          <w:szCs w:val="24"/>
        </w:rPr>
        <w:t>Załączniku Nr 1</w:t>
      </w:r>
      <w:r w:rsidRPr="003F50FE">
        <w:rPr>
          <w:rFonts w:ascii="Times New Roman" w:hAnsi="Times New Roman" w:cs="Times New Roman"/>
          <w:sz w:val="24"/>
          <w:szCs w:val="24"/>
        </w:rPr>
        <w:t xml:space="preserve"> </w:t>
      </w:r>
      <w:r w:rsidR="00861119" w:rsidRPr="003F50FE">
        <w:rPr>
          <w:rFonts w:ascii="Times New Roman" w:hAnsi="Times New Roman" w:cs="Times New Roman"/>
          <w:sz w:val="24"/>
          <w:szCs w:val="24"/>
        </w:rPr>
        <w:t>(</w:t>
      </w:r>
      <w:r w:rsidR="00861119" w:rsidRPr="003F50FE">
        <w:rPr>
          <w:rFonts w:ascii="Times New Roman" w:hAnsi="Times New Roman" w:cs="Times New Roman"/>
          <w:b/>
          <w:sz w:val="24"/>
          <w:szCs w:val="24"/>
        </w:rPr>
        <w:t>1A</w:t>
      </w:r>
      <w:r w:rsidR="00861119" w:rsidRPr="003F50FE">
        <w:rPr>
          <w:rFonts w:ascii="Times New Roman" w:hAnsi="Times New Roman" w:cs="Times New Roman"/>
          <w:sz w:val="24"/>
          <w:szCs w:val="24"/>
        </w:rPr>
        <w:t xml:space="preserve"> </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proofErr w:type="spellStart"/>
      <w:r w:rsidR="00861119"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1B</w:t>
      </w:r>
      <w:r w:rsidR="00861119" w:rsidRPr="003F50FE">
        <w:rPr>
          <w:rFonts w:ascii="Times New Roman" w:hAnsi="Times New Roman" w:cs="Times New Roman"/>
          <w:sz w:val="24"/>
          <w:szCs w:val="24"/>
        </w:rPr>
        <w:t xml:space="preserve"> – Przedmiar robót</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1C</w:t>
      </w:r>
      <w:r w:rsidR="00861119" w:rsidRPr="003F50FE">
        <w:rPr>
          <w:rFonts w:ascii="Times New Roman" w:hAnsi="Times New Roman" w:cs="Times New Roman"/>
          <w:sz w:val="24"/>
          <w:szCs w:val="24"/>
        </w:rPr>
        <w:t xml:space="preserve"> – Projekt</w:t>
      </w:r>
      <w:r w:rsidR="005674BF" w:rsidRPr="003F50FE">
        <w:rPr>
          <w:rFonts w:ascii="Times New Roman" w:hAnsi="Times New Roman" w:cs="Times New Roman"/>
          <w:sz w:val="24"/>
          <w:szCs w:val="24"/>
        </w:rPr>
        <w:t xml:space="preserve"> (rysunki, zdjęcia</w:t>
      </w:r>
      <w:r w:rsidR="00861119" w:rsidRPr="003F50FE">
        <w:rPr>
          <w:rFonts w:ascii="Times New Roman" w:hAnsi="Times New Roman" w:cs="Times New Roman"/>
          <w:sz w:val="24"/>
          <w:szCs w:val="24"/>
        </w:rPr>
        <w:t xml:space="preserve">) </w:t>
      </w:r>
      <w:r w:rsidRPr="003F50FE">
        <w:rPr>
          <w:rFonts w:ascii="Times New Roman" w:hAnsi="Times New Roman" w:cs="Times New Roman"/>
          <w:sz w:val="24"/>
          <w:szCs w:val="24"/>
        </w:rPr>
        <w:t>do SIWZ.</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6963DB">
        <w:rPr>
          <w:rFonts w:ascii="Times New Roman" w:hAnsi="Times New Roman" w:cs="Times New Roman"/>
          <w:sz w:val="24"/>
          <w:szCs w:val="24"/>
          <w:lang w:eastAsia="pl-PL"/>
        </w:rPr>
        <w:t>30</w:t>
      </w:r>
      <w:r w:rsidRPr="009E700B">
        <w:rPr>
          <w:rFonts w:ascii="Times New Roman" w:hAnsi="Times New Roman" w:cs="Times New Roman"/>
          <w:sz w:val="24"/>
          <w:szCs w:val="24"/>
          <w:lang w:eastAsia="pl-PL"/>
        </w:rPr>
        <w:t>.0</w:t>
      </w:r>
      <w:r w:rsidR="001323CA">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.201</w:t>
      </w:r>
      <w:r w:rsidR="004D1661">
        <w:rPr>
          <w:rFonts w:ascii="Times New Roman" w:hAnsi="Times New Roman" w:cs="Times New Roman"/>
          <w:sz w:val="24"/>
          <w:szCs w:val="24"/>
          <w:lang w:eastAsia="pl-PL"/>
        </w:rPr>
        <w:t>9</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lastRenderedPageBreak/>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E28DE" w:rsidP="00692FCD">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DB442C">
        <w:rPr>
          <w:rFonts w:ascii="Times New Roman" w:hAnsi="Times New Roman" w:cs="Times New Roman"/>
          <w:sz w:val="24"/>
          <w:szCs w:val="24"/>
        </w:rPr>
        <w:t>jedną</w:t>
      </w:r>
      <w:r w:rsidRPr="000B1196">
        <w:rPr>
          <w:rFonts w:ascii="Times New Roman" w:hAnsi="Times New Roman" w:cs="Times New Roman"/>
          <w:sz w:val="24"/>
          <w:szCs w:val="24"/>
        </w:rPr>
        <w:t xml:space="preserve"> robot</w:t>
      </w:r>
      <w:r w:rsidR="00DB442C">
        <w:rPr>
          <w:rFonts w:ascii="Times New Roman" w:hAnsi="Times New Roman" w:cs="Times New Roman"/>
          <w:sz w:val="24"/>
          <w:szCs w:val="24"/>
        </w:rPr>
        <w:t>ę</w:t>
      </w:r>
      <w:r w:rsidRPr="000B1196">
        <w:rPr>
          <w:rFonts w:ascii="Times New Roman" w:hAnsi="Times New Roman" w:cs="Times New Roman"/>
          <w:sz w:val="24"/>
          <w:szCs w:val="24"/>
        </w:rPr>
        <w:t xml:space="preserve"> budowlan</w:t>
      </w:r>
      <w:r w:rsidR="00DB442C">
        <w:rPr>
          <w:rFonts w:ascii="Times New Roman" w:hAnsi="Times New Roman" w:cs="Times New Roman"/>
          <w:sz w:val="24"/>
          <w:szCs w:val="24"/>
        </w:rPr>
        <w:t>ą</w:t>
      </w:r>
      <w:r w:rsidRPr="000B1196">
        <w:rPr>
          <w:rFonts w:ascii="Times New Roman" w:hAnsi="Times New Roman" w:cs="Times New Roman"/>
          <w:sz w:val="24"/>
          <w:szCs w:val="24"/>
        </w:rPr>
        <w:t xml:space="preserve"> </w:t>
      </w:r>
      <w:r w:rsidR="00DB442C">
        <w:rPr>
          <w:rFonts w:ascii="Times New Roman" w:hAnsi="Times New Roman" w:cs="Times New Roman"/>
          <w:sz w:val="24"/>
          <w:szCs w:val="24"/>
        </w:rPr>
        <w:t>polegającą</w:t>
      </w:r>
      <w:r w:rsidR="00692FCD">
        <w:rPr>
          <w:rFonts w:ascii="Times New Roman" w:hAnsi="Times New Roman" w:cs="Times New Roman"/>
          <w:sz w:val="24"/>
          <w:szCs w:val="24"/>
        </w:rPr>
        <w:t xml:space="preserve"> lub obejmując</w:t>
      </w:r>
      <w:r w:rsidR="00DB442C">
        <w:rPr>
          <w:rFonts w:ascii="Times New Roman" w:hAnsi="Times New Roman" w:cs="Times New Roman"/>
          <w:sz w:val="24"/>
          <w:szCs w:val="24"/>
        </w:rPr>
        <w:t>ą</w:t>
      </w:r>
      <w:r w:rsidR="000B1196" w:rsidRPr="000B1196">
        <w:rPr>
          <w:rFonts w:ascii="Times New Roman" w:hAnsi="Times New Roman" w:cs="Times New Roman"/>
          <w:sz w:val="24"/>
          <w:szCs w:val="24"/>
        </w:rPr>
        <w:t xml:space="preserve"> </w:t>
      </w:r>
      <w:r w:rsidR="00692FCD">
        <w:rPr>
          <w:rFonts w:ascii="Times New Roman" w:hAnsi="Times New Roman" w:cs="Times New Roman"/>
          <w:sz w:val="24"/>
          <w:szCs w:val="24"/>
        </w:rPr>
        <w:t>zabezpieczenie budynku przed wilgocią</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roboty nie może być mniejsza niż 1</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 xml:space="preserve">oraz co najmniej 5-letnie doświadczenie </w:t>
      </w:r>
      <w:r w:rsidR="00692FCD">
        <w:rPr>
          <w:rFonts w:ascii="Times New Roman" w:hAnsi="Times New Roman" w:cs="Times New Roman"/>
          <w:sz w:val="24"/>
          <w:szCs w:val="24"/>
        </w:rPr>
        <w:br/>
      </w:r>
      <w:r w:rsidR="001D77C1">
        <w:rPr>
          <w:rFonts w:ascii="Times New Roman" w:hAnsi="Times New Roman" w:cs="Times New Roman"/>
          <w:sz w:val="24"/>
          <w:szCs w:val="24"/>
        </w:rPr>
        <w:t>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w:t>
      </w:r>
      <w:r>
        <w:rPr>
          <w:rFonts w:ascii="Times New Roman" w:hAnsi="Times New Roman" w:cs="Times New Roman"/>
          <w:sz w:val="24"/>
          <w:szCs w:val="24"/>
        </w:rPr>
        <w:lastRenderedPageBreak/>
        <w:t xml:space="preserve">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DB442C" w:rsidRPr="006F06C0" w:rsidRDefault="00DB442C" w:rsidP="00DB442C">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lastRenderedPageBreak/>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lastRenderedPageBreak/>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czy podmiot, na zdolnościach którego wykonawca polega w odniesieniu do warunków udziału w postępowaniu dotyczących wykształcenia, kwalifikacji </w:t>
      </w:r>
      <w:r w:rsidRPr="00C52579">
        <w:rPr>
          <w:rFonts w:ascii="Times New Roman" w:hAnsi="Times New Roman" w:cs="Times New Roman"/>
          <w:i/>
          <w:iCs/>
          <w:sz w:val="24"/>
          <w:szCs w:val="24"/>
        </w:rPr>
        <w:lastRenderedPageBreak/>
        <w:t>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w:t>
      </w:r>
      <w:r w:rsidRPr="005720CE">
        <w:rPr>
          <w:rFonts w:ascii="Times New Roman" w:hAnsi="Times New Roman" w:cs="Times New Roman"/>
          <w:sz w:val="24"/>
          <w:szCs w:val="24"/>
        </w:rPr>
        <w:lastRenderedPageBreak/>
        <w:t>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 xml:space="preserve">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w:t>
      </w:r>
      <w:r w:rsidRPr="00F6777C">
        <w:rPr>
          <w:rFonts w:ascii="Times New Roman" w:hAnsi="Times New Roman" w:cs="Times New Roman"/>
          <w:sz w:val="24"/>
          <w:szCs w:val="24"/>
        </w:rPr>
        <w:lastRenderedPageBreak/>
        <w:t>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w:t>
      </w:r>
      <w:r w:rsidRPr="00B74FA2">
        <w:rPr>
          <w:rFonts w:ascii="Times New Roman" w:hAnsi="Times New Roman" w:cs="Times New Roman"/>
          <w:sz w:val="24"/>
          <w:szCs w:val="24"/>
        </w:rPr>
        <w:lastRenderedPageBreak/>
        <w:t>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41642A">
        <w:rPr>
          <w:rFonts w:ascii="Times New Roman" w:hAnsi="Times New Roman" w:cs="Times New Roman"/>
          <w:b/>
          <w:bCs/>
          <w:sz w:val="24"/>
          <w:szCs w:val="24"/>
        </w:rPr>
        <w:t xml:space="preserve">. </w:t>
      </w:r>
      <w:r w:rsidR="00C367ED" w:rsidRPr="00304E33">
        <w:rPr>
          <w:rFonts w:ascii="Times New Roman" w:hAnsi="Times New Roman" w:cs="Times New Roman"/>
          <w:b/>
          <w:bCs/>
          <w:sz w:val="24"/>
          <w:szCs w:val="24"/>
        </w:rPr>
        <w:t>06</w:t>
      </w:r>
      <w:r w:rsidRPr="00304E33">
        <w:rPr>
          <w:rFonts w:ascii="Times New Roman" w:hAnsi="Times New Roman" w:cs="Times New Roman"/>
          <w:b/>
          <w:bCs/>
          <w:sz w:val="24"/>
          <w:szCs w:val="24"/>
        </w:rPr>
        <w:t>.0</w:t>
      </w:r>
      <w:r w:rsidR="00C367ED" w:rsidRPr="00304E33">
        <w:rPr>
          <w:rFonts w:ascii="Times New Roman" w:hAnsi="Times New Roman" w:cs="Times New Roman"/>
          <w:b/>
          <w:bCs/>
          <w:sz w:val="24"/>
          <w:szCs w:val="24"/>
        </w:rPr>
        <w:t>3</w:t>
      </w:r>
      <w:r w:rsidRPr="00304E33">
        <w:rPr>
          <w:rFonts w:ascii="Times New Roman" w:hAnsi="Times New Roman" w:cs="Times New Roman"/>
          <w:b/>
          <w:bCs/>
          <w:sz w:val="24"/>
          <w:szCs w:val="24"/>
        </w:rPr>
        <w:t>.201</w:t>
      </w:r>
      <w:r w:rsidR="000B78F6" w:rsidRPr="00304E33">
        <w:rPr>
          <w:rFonts w:ascii="Times New Roman" w:hAnsi="Times New Roman" w:cs="Times New Roman"/>
          <w:b/>
          <w:bCs/>
          <w:sz w:val="24"/>
          <w:szCs w:val="24"/>
        </w:rPr>
        <w:t>9</w:t>
      </w:r>
      <w:r w:rsidRPr="00304E33">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692FCD">
        <w:rPr>
          <w:rFonts w:ascii="Times New Roman" w:hAnsi="Times New Roman" w:cs="Times New Roman"/>
          <w:sz w:val="24"/>
          <w:szCs w:val="24"/>
        </w:rPr>
        <w:t>4</w:t>
      </w:r>
      <w:r w:rsidRPr="004D2943">
        <w:rPr>
          <w:rFonts w:ascii="Times New Roman" w:hAnsi="Times New Roman" w:cs="Times New Roman"/>
          <w:sz w:val="24"/>
          <w:szCs w:val="24"/>
        </w:rPr>
        <w:t xml:space="preserve"> </w:t>
      </w:r>
      <w:r w:rsidR="00692FCD">
        <w:rPr>
          <w:rFonts w:ascii="Times New Roman" w:hAnsi="Times New Roman" w:cs="Times New Roman"/>
          <w:sz w:val="24"/>
          <w:szCs w:val="24"/>
        </w:rPr>
        <w:t>0</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692FCD">
        <w:rPr>
          <w:rFonts w:ascii="Times New Roman" w:hAnsi="Times New Roman" w:cs="Times New Roman"/>
          <w:sz w:val="24"/>
          <w:szCs w:val="24"/>
        </w:rPr>
        <w:t>cztery</w:t>
      </w:r>
      <w:r w:rsidR="004D2943">
        <w:rPr>
          <w:rFonts w:ascii="Times New Roman" w:hAnsi="Times New Roman" w:cs="Times New Roman"/>
          <w:sz w:val="24"/>
          <w:szCs w:val="24"/>
        </w:rPr>
        <w:t xml:space="preserve"> tysiące </w:t>
      </w:r>
      <w:r w:rsidR="008B2BA8">
        <w:rPr>
          <w:rFonts w:ascii="Times New Roman" w:hAnsi="Times New Roman" w:cs="Times New Roman"/>
          <w:sz w:val="24"/>
          <w:szCs w:val="24"/>
        </w:rPr>
        <w:t>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hAnsi="Times New Roman" w:cs="Times New Roman"/>
          <w:sz w:val="24"/>
          <w:szCs w:val="24"/>
        </w:rPr>
        <w:t>pó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źn</w:t>
      </w:r>
      <w:proofErr w:type="spellEnd"/>
      <w:r>
        <w:rPr>
          <w:rFonts w:ascii="Times New Roman" w:hAnsi="Times New Roman" w:cs="Times New Roman"/>
          <w:sz w:val="24"/>
          <w:szCs w:val="24"/>
        </w:rPr>
        <w:t>. zm.).</w:t>
      </w: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t xml:space="preserve">Dokumenty, o których mowa w punkcie 5.2. – 5.5 muszą zachowywać ważność przez cały okres, w którym Wykonawca jest związany ofertą. Gwarancje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Poręczenia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o których mowa w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kwoty, do wysokości której bank – poręczyciel lub podmioty o których mowa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41642A">
      <w:pPr>
        <w:spacing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„Wadium – </w:t>
      </w:r>
      <w:r w:rsidR="006E2DE4" w:rsidRPr="0041642A">
        <w:rPr>
          <w:rFonts w:ascii="Times New Roman" w:hAnsi="Times New Roman" w:cs="Times New Roman"/>
          <w:b/>
          <w:bCs/>
          <w:i/>
          <w:sz w:val="24"/>
          <w:szCs w:val="24"/>
        </w:rPr>
        <w:t>Zabezpieczenie przed wilgocią budynku nr 386</w:t>
      </w:r>
      <w:r w:rsidR="00020506" w:rsidRPr="0041642A">
        <w:rPr>
          <w:rFonts w:ascii="Times New Roman" w:hAnsi="Times New Roman" w:cs="Times New Roman"/>
          <w:b/>
          <w:bCs/>
          <w:i/>
          <w:sz w:val="24"/>
          <w:szCs w:val="24"/>
        </w:rPr>
        <w:t xml:space="preserve">, 6 Szpitala Wojskowego </w:t>
      </w:r>
      <w:r w:rsidR="006E2DE4" w:rsidRPr="0041642A">
        <w:rPr>
          <w:rFonts w:ascii="Times New Roman" w:hAnsi="Times New Roman" w:cs="Times New Roman"/>
          <w:b/>
          <w:bCs/>
          <w:i/>
          <w:sz w:val="24"/>
          <w:szCs w:val="24"/>
        </w:rPr>
        <w:br/>
      </w:r>
      <w:r w:rsidR="00020506" w:rsidRPr="0041642A">
        <w:rPr>
          <w:rFonts w:ascii="Times New Roman" w:hAnsi="Times New Roman" w:cs="Times New Roman"/>
          <w:b/>
          <w:bCs/>
          <w:i/>
          <w:sz w:val="24"/>
          <w:szCs w:val="24"/>
        </w:rPr>
        <w:t>z Przychodnią – SP ZOZ w Dęblinie, ul. Szpitalna 2</w:t>
      </w:r>
      <w:r w:rsidRPr="0041642A">
        <w:rPr>
          <w:rFonts w:ascii="Times New Roman" w:hAnsi="Times New Roman" w:cs="Times New Roman"/>
          <w:b/>
          <w:bCs/>
          <w:i/>
          <w:iCs/>
          <w:sz w:val="24"/>
          <w:szCs w:val="24"/>
        </w:rPr>
        <w:t xml:space="preserve">, </w:t>
      </w:r>
      <w:r w:rsidR="008B2BA8" w:rsidRPr="0041642A">
        <w:rPr>
          <w:rFonts w:ascii="Times New Roman" w:hAnsi="Times New Roman" w:cs="Times New Roman"/>
          <w:b/>
          <w:bCs/>
          <w:i/>
          <w:iCs/>
          <w:sz w:val="24"/>
          <w:szCs w:val="24"/>
        </w:rPr>
        <w:t xml:space="preserve">znak sprawy: </w:t>
      </w:r>
      <w:r w:rsidR="00C367ED">
        <w:rPr>
          <w:rFonts w:ascii="Times New Roman" w:hAnsi="Times New Roman" w:cs="Times New Roman"/>
          <w:b/>
          <w:bCs/>
          <w:i/>
          <w:iCs/>
          <w:sz w:val="24"/>
          <w:szCs w:val="24"/>
        </w:rPr>
        <w:t>5</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r w:rsidRPr="0041642A">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lastRenderedPageBreak/>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692FCD">
        <w:rPr>
          <w:rFonts w:ascii="Times New Roman" w:hAnsi="Times New Roman" w:cs="Times New Roman"/>
          <w:b/>
          <w:bCs/>
          <w:i/>
          <w:iCs/>
          <w:sz w:val="23"/>
          <w:szCs w:val="23"/>
        </w:rPr>
        <w:t>zabezpieczenie przed wilgocią budynku nr 386</w:t>
      </w:r>
      <w:r w:rsidR="00692FCD">
        <w:rPr>
          <w:rFonts w:ascii="Times New Roman" w:hAnsi="Times New Roman" w:cs="Times New Roman"/>
          <w:b/>
          <w:bCs/>
          <w:i/>
          <w:sz w:val="23"/>
          <w:szCs w:val="23"/>
        </w:rPr>
        <w:t xml:space="preserve">, </w:t>
      </w:r>
      <w:r w:rsidR="00020506" w:rsidRPr="00020506">
        <w:rPr>
          <w:rFonts w:ascii="Times New Roman" w:hAnsi="Times New Roman" w:cs="Times New Roman"/>
          <w:b/>
          <w:bCs/>
          <w:i/>
          <w:sz w:val="23"/>
          <w:szCs w:val="23"/>
        </w:rPr>
        <w:t xml:space="preserve">6 Szpitala Wojskowego </w:t>
      </w:r>
      <w:r w:rsidR="00692FCD">
        <w:rPr>
          <w:rFonts w:ascii="Times New Roman" w:hAnsi="Times New Roman" w:cs="Times New Roman"/>
          <w:b/>
          <w:bCs/>
          <w:i/>
          <w:sz w:val="23"/>
          <w:szCs w:val="23"/>
        </w:rPr>
        <w:br/>
      </w:r>
      <w:r w:rsidR="00020506" w:rsidRPr="00020506">
        <w:rPr>
          <w:rFonts w:ascii="Times New Roman" w:hAnsi="Times New Roman" w:cs="Times New Roman"/>
          <w:b/>
          <w:bCs/>
          <w:i/>
          <w:sz w:val="23"/>
          <w:szCs w:val="23"/>
        </w:rPr>
        <w:t>z Przychodnią – SP ZOZ w Dęblinie, ul. Szpitalna 2</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C367ED">
        <w:rPr>
          <w:rFonts w:ascii="Times New Roman" w:hAnsi="Times New Roman" w:cs="Times New Roman"/>
          <w:b/>
          <w:bCs/>
          <w:i/>
          <w:iCs/>
          <w:sz w:val="24"/>
          <w:szCs w:val="24"/>
        </w:rPr>
        <w:t>5</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nie otwierać przed dniem </w:t>
      </w:r>
      <w:r w:rsidR="00C367ED" w:rsidRPr="00304E33">
        <w:rPr>
          <w:rFonts w:ascii="Times New Roman" w:hAnsi="Times New Roman" w:cs="Times New Roman"/>
          <w:b/>
          <w:bCs/>
          <w:i/>
          <w:iCs/>
          <w:sz w:val="24"/>
          <w:szCs w:val="24"/>
        </w:rPr>
        <w:t>1</w:t>
      </w:r>
      <w:r w:rsidR="0047552E" w:rsidRPr="00304E33">
        <w:rPr>
          <w:rFonts w:ascii="Times New Roman" w:hAnsi="Times New Roman" w:cs="Times New Roman"/>
          <w:b/>
          <w:bCs/>
          <w:i/>
          <w:iCs/>
          <w:sz w:val="24"/>
          <w:szCs w:val="24"/>
        </w:rPr>
        <w:t>3</w:t>
      </w:r>
      <w:r w:rsidRPr="00304E33">
        <w:rPr>
          <w:rFonts w:ascii="Times New Roman" w:hAnsi="Times New Roman" w:cs="Times New Roman"/>
          <w:b/>
          <w:bCs/>
          <w:i/>
          <w:iCs/>
          <w:sz w:val="24"/>
          <w:szCs w:val="24"/>
        </w:rPr>
        <w:t>/0</w:t>
      </w:r>
      <w:r w:rsidR="00C367ED" w:rsidRPr="00304E33">
        <w:rPr>
          <w:rFonts w:ascii="Times New Roman" w:hAnsi="Times New Roman" w:cs="Times New Roman"/>
          <w:b/>
          <w:bCs/>
          <w:i/>
          <w:iCs/>
          <w:sz w:val="24"/>
          <w:szCs w:val="24"/>
        </w:rPr>
        <w:t>3</w:t>
      </w:r>
      <w:r w:rsidRPr="00304E33">
        <w:rPr>
          <w:rFonts w:ascii="Times New Roman" w:hAnsi="Times New Roman" w:cs="Times New Roman"/>
          <w:b/>
          <w:bCs/>
          <w:i/>
          <w:iCs/>
          <w:sz w:val="24"/>
          <w:szCs w:val="24"/>
        </w:rPr>
        <w:t>/201</w:t>
      </w:r>
      <w:r w:rsidR="000B78F6" w:rsidRPr="00304E33">
        <w:rPr>
          <w:rFonts w:ascii="Times New Roman" w:hAnsi="Times New Roman" w:cs="Times New Roman"/>
          <w:b/>
          <w:bCs/>
          <w:i/>
          <w:iCs/>
          <w:sz w:val="24"/>
          <w:szCs w:val="24"/>
        </w:rPr>
        <w:t>9</w:t>
      </w:r>
      <w:r w:rsidRPr="00304E33">
        <w:rPr>
          <w:rFonts w:ascii="Times New Roman" w:hAnsi="Times New Roman" w:cs="Times New Roman"/>
          <w:b/>
          <w:bCs/>
          <w:i/>
          <w:iCs/>
          <w:sz w:val="24"/>
          <w:szCs w:val="24"/>
        </w:rPr>
        <w:t xml:space="preserve"> roku</w:t>
      </w:r>
      <w:r w:rsidRPr="0041642A">
        <w:rPr>
          <w:rFonts w:ascii="Times New Roman" w:hAnsi="Times New Roman" w:cs="Times New Roman"/>
          <w:b/>
          <w:bCs/>
          <w:i/>
          <w:iCs/>
          <w:sz w:val="24"/>
          <w:szCs w:val="24"/>
        </w:rPr>
        <w:t xml:space="preserve">, do godz. </w:t>
      </w:r>
      <w:r w:rsidR="008B2BA8" w:rsidRPr="0041642A">
        <w:rPr>
          <w:rFonts w:ascii="Times New Roman" w:hAnsi="Times New Roman" w:cs="Times New Roman"/>
          <w:b/>
          <w:bCs/>
          <w:i/>
          <w:iCs/>
          <w:sz w:val="24"/>
          <w:szCs w:val="24"/>
        </w:rPr>
        <w:t>11</w:t>
      </w:r>
      <w:r w:rsidRPr="0041642A">
        <w:rPr>
          <w:rFonts w:ascii="Times New Roman" w:hAnsi="Times New Roman" w:cs="Times New Roman"/>
          <w:b/>
          <w:bCs/>
          <w:i/>
          <w:iCs/>
          <w:sz w:val="24"/>
          <w:szCs w:val="24"/>
        </w:rPr>
        <w:t>:</w:t>
      </w:r>
      <w:r w:rsidR="0047552E">
        <w:rPr>
          <w:rFonts w:ascii="Times New Roman" w:hAnsi="Times New Roman" w:cs="Times New Roman"/>
          <w:b/>
          <w:bCs/>
          <w:i/>
          <w:iCs/>
          <w:sz w:val="24"/>
          <w:szCs w:val="24"/>
        </w:rPr>
        <w:t>0</w:t>
      </w:r>
      <w:r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w:t>
      </w:r>
      <w:r w:rsidRPr="00304E33">
        <w:rPr>
          <w:rFonts w:ascii="Times New Roman" w:hAnsi="Times New Roman" w:cs="Times New Roman"/>
          <w:sz w:val="24"/>
          <w:szCs w:val="24"/>
        </w:rPr>
        <w:t xml:space="preserve">upływa </w:t>
      </w:r>
      <w:r w:rsidR="00771B4E" w:rsidRPr="00304E33">
        <w:rPr>
          <w:rFonts w:ascii="Times New Roman" w:hAnsi="Times New Roman" w:cs="Times New Roman"/>
          <w:b/>
          <w:bCs/>
          <w:sz w:val="24"/>
          <w:szCs w:val="24"/>
        </w:rPr>
        <w:t>1</w:t>
      </w:r>
      <w:r w:rsidR="0047552E" w:rsidRPr="00304E33">
        <w:rPr>
          <w:rFonts w:ascii="Times New Roman" w:hAnsi="Times New Roman" w:cs="Times New Roman"/>
          <w:b/>
          <w:bCs/>
          <w:sz w:val="24"/>
          <w:szCs w:val="24"/>
        </w:rPr>
        <w:t>3</w:t>
      </w:r>
      <w:r w:rsidRPr="00304E33">
        <w:rPr>
          <w:rFonts w:ascii="Times New Roman" w:hAnsi="Times New Roman" w:cs="Times New Roman"/>
          <w:b/>
          <w:bCs/>
          <w:sz w:val="24"/>
          <w:szCs w:val="24"/>
        </w:rPr>
        <w:t>/0</w:t>
      </w:r>
      <w:r w:rsidR="00C367ED" w:rsidRPr="00304E33">
        <w:rPr>
          <w:rFonts w:ascii="Times New Roman" w:hAnsi="Times New Roman" w:cs="Times New Roman"/>
          <w:b/>
          <w:bCs/>
          <w:sz w:val="24"/>
          <w:szCs w:val="24"/>
        </w:rPr>
        <w:t>3</w:t>
      </w:r>
      <w:r w:rsidRPr="00304E33">
        <w:rPr>
          <w:rFonts w:ascii="Times New Roman" w:hAnsi="Times New Roman" w:cs="Times New Roman"/>
          <w:b/>
          <w:bCs/>
          <w:sz w:val="24"/>
          <w:szCs w:val="24"/>
        </w:rPr>
        <w:t>/201</w:t>
      </w:r>
      <w:r w:rsidR="000B78F6" w:rsidRPr="00304E33">
        <w:rPr>
          <w:rFonts w:ascii="Times New Roman" w:hAnsi="Times New Roman" w:cs="Times New Roman"/>
          <w:b/>
          <w:bCs/>
          <w:sz w:val="24"/>
          <w:szCs w:val="24"/>
        </w:rPr>
        <w:t>9</w:t>
      </w:r>
      <w:r w:rsidRPr="00304E33">
        <w:rPr>
          <w:rFonts w:ascii="Times New Roman" w:hAnsi="Times New Roman" w:cs="Times New Roman"/>
          <w:sz w:val="24"/>
          <w:szCs w:val="24"/>
        </w:rPr>
        <w:t xml:space="preserve"> roku</w:t>
      </w:r>
      <w:r w:rsidRPr="0041642A">
        <w:rPr>
          <w:rFonts w:ascii="Times New Roman" w:hAnsi="Times New Roman" w:cs="Times New Roman"/>
          <w:sz w:val="24"/>
          <w:szCs w:val="24"/>
        </w:rPr>
        <w:t xml:space="preserve">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lastRenderedPageBreak/>
        <w:t xml:space="preserve">Publiczne otwarcie ofert nastąpi w dniu </w:t>
      </w:r>
      <w:r w:rsidR="00771B4E" w:rsidRPr="00304E33">
        <w:rPr>
          <w:rFonts w:ascii="Times New Roman" w:hAnsi="Times New Roman" w:cs="Times New Roman"/>
          <w:b/>
          <w:bCs/>
          <w:sz w:val="24"/>
          <w:szCs w:val="24"/>
        </w:rPr>
        <w:t>1</w:t>
      </w:r>
      <w:r w:rsidR="0047552E" w:rsidRPr="00304E33">
        <w:rPr>
          <w:rFonts w:ascii="Times New Roman" w:hAnsi="Times New Roman" w:cs="Times New Roman"/>
          <w:b/>
          <w:bCs/>
          <w:sz w:val="24"/>
          <w:szCs w:val="24"/>
        </w:rPr>
        <w:t>3</w:t>
      </w:r>
      <w:r w:rsidR="00771B4E" w:rsidRPr="00304E33">
        <w:rPr>
          <w:rFonts w:ascii="Times New Roman" w:hAnsi="Times New Roman" w:cs="Times New Roman"/>
          <w:b/>
          <w:bCs/>
          <w:sz w:val="24"/>
          <w:szCs w:val="24"/>
        </w:rPr>
        <w:t>/0</w:t>
      </w:r>
      <w:r w:rsidR="00C367ED" w:rsidRPr="00304E33">
        <w:rPr>
          <w:rFonts w:ascii="Times New Roman" w:hAnsi="Times New Roman" w:cs="Times New Roman"/>
          <w:b/>
          <w:bCs/>
          <w:sz w:val="24"/>
          <w:szCs w:val="24"/>
        </w:rPr>
        <w:t>3</w:t>
      </w:r>
      <w:r w:rsidRPr="00304E33">
        <w:rPr>
          <w:rFonts w:ascii="Times New Roman" w:hAnsi="Times New Roman" w:cs="Times New Roman"/>
          <w:b/>
          <w:bCs/>
          <w:sz w:val="24"/>
          <w:szCs w:val="24"/>
        </w:rPr>
        <w:t>/201</w:t>
      </w:r>
      <w:r w:rsidR="000B78F6" w:rsidRPr="00304E33">
        <w:rPr>
          <w:rFonts w:ascii="Times New Roman" w:hAnsi="Times New Roman" w:cs="Times New Roman"/>
          <w:b/>
          <w:bCs/>
          <w:sz w:val="24"/>
          <w:szCs w:val="24"/>
        </w:rPr>
        <w:t>9</w:t>
      </w:r>
      <w:r w:rsidRPr="00304E33">
        <w:rPr>
          <w:rFonts w:ascii="Times New Roman" w:hAnsi="Times New Roman" w:cs="Times New Roman"/>
          <w:b/>
          <w:bCs/>
          <w:sz w:val="24"/>
          <w:szCs w:val="24"/>
        </w:rPr>
        <w:t xml:space="preserve"> roku, o godz. </w:t>
      </w:r>
      <w:r w:rsidR="008B2BA8" w:rsidRPr="00304E33">
        <w:rPr>
          <w:rFonts w:ascii="Times New Roman" w:hAnsi="Times New Roman" w:cs="Times New Roman"/>
          <w:b/>
          <w:bCs/>
          <w:sz w:val="24"/>
          <w:szCs w:val="24"/>
        </w:rPr>
        <w:t>11</w:t>
      </w:r>
      <w:r w:rsidR="00692FCD" w:rsidRPr="00304E33">
        <w:rPr>
          <w:rFonts w:ascii="Times New Roman" w:hAnsi="Times New Roman" w:cs="Times New Roman"/>
          <w:b/>
          <w:bCs/>
          <w:sz w:val="24"/>
          <w:szCs w:val="24"/>
        </w:rPr>
        <w:t>:</w:t>
      </w:r>
      <w:r w:rsidR="0047552E" w:rsidRPr="00304E33">
        <w:rPr>
          <w:rFonts w:ascii="Times New Roman" w:hAnsi="Times New Roman" w:cs="Times New Roman"/>
          <w:b/>
          <w:bCs/>
          <w:sz w:val="24"/>
          <w:szCs w:val="24"/>
        </w:rPr>
        <w:t>0</w:t>
      </w:r>
      <w:r w:rsidRPr="00304E33">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t>
      </w:r>
      <w:r w:rsidRPr="00271C87">
        <w:rPr>
          <w:rFonts w:ascii="Times New Roman" w:hAnsi="Times New Roman" w:cs="Times New Roman"/>
          <w:sz w:val="24"/>
          <w:szCs w:val="24"/>
        </w:rPr>
        <w:lastRenderedPageBreak/>
        <w:t xml:space="preserve">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C367ED"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lastRenderedPageBreak/>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lastRenderedPageBreak/>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lastRenderedPageBreak/>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751967">
        <w:rPr>
          <w:rFonts w:ascii="Times New Roman" w:hAnsi="Times New Roman" w:cs="Times New Roman"/>
          <w:b/>
          <w:bCs/>
          <w:sz w:val="24"/>
          <w:szCs w:val="24"/>
        </w:rPr>
        <w:t>5</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lastRenderedPageBreak/>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w:t>
      </w:r>
      <w:r w:rsidRPr="001C2AA4">
        <w:rPr>
          <w:rFonts w:ascii="Times New Roman" w:hAnsi="Times New Roman" w:cs="Times New Roman"/>
          <w:sz w:val="24"/>
          <w:szCs w:val="24"/>
        </w:rPr>
        <w:lastRenderedPageBreak/>
        <w:t xml:space="preserve">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304E33" w:rsidRDefault="00B7722D" w:rsidP="00304E33">
      <w:pPr>
        <w:pStyle w:val="Akapitzlist"/>
        <w:numPr>
          <w:ilvl w:val="0"/>
          <w:numId w:val="58"/>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304E33" w:rsidRDefault="00B7722D" w:rsidP="00304E33">
      <w:pPr>
        <w:pStyle w:val="Akapitzlist"/>
        <w:numPr>
          <w:ilvl w:val="0"/>
          <w:numId w:val="58"/>
        </w:numPr>
        <w:spacing w:after="150" w:line="360" w:lineRule="auto"/>
        <w:ind w:left="426" w:hanging="426"/>
        <w:contextualSpacing/>
        <w:jc w:val="both"/>
        <w:rPr>
          <w:rFonts w:ascii="Times New Roman" w:eastAsia="Times New Roman" w:hAnsi="Times New Roman" w:cs="Times New Roman"/>
          <w:i/>
          <w:sz w:val="24"/>
          <w:szCs w:val="24"/>
          <w:lang w:eastAsia="pl-PL"/>
        </w:rPr>
      </w:pPr>
      <w:r w:rsidRPr="00304E33">
        <w:rPr>
          <w:rFonts w:ascii="Times New Roman" w:eastAsia="Times New Roman" w:hAnsi="Times New Roman" w:cs="Times New Roman"/>
          <w:sz w:val="24"/>
          <w:szCs w:val="24"/>
          <w:lang w:eastAsia="pl-PL"/>
        </w:rPr>
        <w:t xml:space="preserve">inspektorem ochrony danych osobowych w 6 Szpitalu Wojskowym z Przychodnią - </w:t>
      </w:r>
      <w:r w:rsidRPr="00304E33">
        <w:rPr>
          <w:rFonts w:ascii="Times New Roman" w:eastAsia="Times New Roman" w:hAnsi="Times New Roman" w:cs="Times New Roman"/>
          <w:i/>
          <w:sz w:val="24"/>
          <w:szCs w:val="24"/>
          <w:lang w:eastAsia="pl-PL"/>
        </w:rPr>
        <w:t xml:space="preserve">Samodzielny Publiczny Zakład Opieki Zdrowotnej w Dęblinie, ul. Szpitalna 2 </w:t>
      </w:r>
      <w:r w:rsidRPr="00304E33">
        <w:rPr>
          <w:rFonts w:ascii="Times New Roman" w:eastAsia="Times New Roman" w:hAnsi="Times New Roman" w:cs="Times New Roman"/>
          <w:sz w:val="24"/>
          <w:szCs w:val="24"/>
          <w:lang w:eastAsia="pl-PL"/>
        </w:rPr>
        <w:t xml:space="preserve">jest Pani Agnieszka Czerniak kontakt: a.czerniak@pcat.pl, telefon: </w:t>
      </w:r>
      <w:r w:rsidR="000B78F6" w:rsidRPr="00304E33">
        <w:rPr>
          <w:rFonts w:ascii="Times New Roman" w:eastAsia="Times New Roman" w:hAnsi="Times New Roman" w:cs="Times New Roman"/>
          <w:sz w:val="24"/>
          <w:szCs w:val="24"/>
          <w:lang w:eastAsia="pl-PL"/>
        </w:rPr>
        <w:t>517 191 978</w:t>
      </w:r>
      <w:r w:rsidRPr="00304E33">
        <w:rPr>
          <w:rFonts w:ascii="Times New Roman" w:eastAsia="Times New Roman" w:hAnsi="Times New Roman" w:cs="Times New Roman"/>
          <w:b/>
          <w:i/>
          <w:sz w:val="24"/>
          <w:szCs w:val="24"/>
          <w:vertAlign w:val="superscript"/>
          <w:lang w:eastAsia="pl-PL"/>
        </w:rPr>
        <w:t>*</w:t>
      </w:r>
      <w:r w:rsidRPr="00304E33">
        <w:rPr>
          <w:rFonts w:ascii="Times New Roman" w:eastAsia="Times New Roman" w:hAnsi="Times New Roman" w:cs="Times New Roman"/>
          <w:sz w:val="24"/>
          <w:szCs w:val="24"/>
          <w:lang w:eastAsia="pl-PL"/>
        </w:rPr>
        <w:t>;</w:t>
      </w:r>
    </w:p>
    <w:p w:rsidR="00B7722D" w:rsidRPr="00E77FCA" w:rsidRDefault="00B7722D" w:rsidP="000B78F6">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0B78F6" w:rsidRPr="000B78F6">
        <w:rPr>
          <w:rFonts w:ascii="Times New Roman" w:hAnsi="Times New Roman" w:cs="Times New Roman"/>
          <w:bCs/>
          <w:i/>
          <w:sz w:val="24"/>
          <w:szCs w:val="24"/>
        </w:rPr>
        <w:t xml:space="preserve">zabezpieczenie przed wilgocią budynku nr 386, 6 Szpitala Wojskowego z Przychodnią – SP ZOZ </w:t>
      </w:r>
      <w:r w:rsidR="000B78F6">
        <w:rPr>
          <w:rFonts w:ascii="Times New Roman" w:hAnsi="Times New Roman" w:cs="Times New Roman"/>
          <w:bCs/>
          <w:i/>
          <w:sz w:val="24"/>
          <w:szCs w:val="24"/>
        </w:rPr>
        <w:br/>
      </w:r>
      <w:r w:rsidR="000B78F6" w:rsidRPr="000B78F6">
        <w:rPr>
          <w:rFonts w:ascii="Times New Roman" w:hAnsi="Times New Roman" w:cs="Times New Roman"/>
          <w:bCs/>
          <w:i/>
          <w:sz w:val="24"/>
          <w:szCs w:val="24"/>
        </w:rPr>
        <w:t xml:space="preserve">w Dęblinie, ul. </w:t>
      </w:r>
      <w:r w:rsidR="000B78F6" w:rsidRPr="00304E33">
        <w:rPr>
          <w:rFonts w:ascii="Times New Roman" w:hAnsi="Times New Roman" w:cs="Times New Roman"/>
          <w:bCs/>
          <w:i/>
          <w:sz w:val="24"/>
          <w:szCs w:val="24"/>
        </w:rPr>
        <w:t>Szpitalna 2</w:t>
      </w:r>
      <w:r w:rsidRPr="00304E33">
        <w:rPr>
          <w:rFonts w:ascii="Times New Roman" w:hAnsi="Times New Roman" w:cs="Times New Roman"/>
          <w:sz w:val="24"/>
          <w:szCs w:val="24"/>
        </w:rPr>
        <w:t xml:space="preserve">, numer postępowania </w:t>
      </w:r>
      <w:r w:rsidR="00751967" w:rsidRPr="00304E33">
        <w:rPr>
          <w:rFonts w:ascii="Times New Roman" w:hAnsi="Times New Roman" w:cs="Times New Roman"/>
          <w:sz w:val="24"/>
          <w:szCs w:val="24"/>
        </w:rPr>
        <w:t>5</w:t>
      </w:r>
      <w:r w:rsidRPr="00304E33">
        <w:rPr>
          <w:rFonts w:ascii="Times New Roman" w:hAnsi="Times New Roman" w:cs="Times New Roman"/>
          <w:sz w:val="24"/>
          <w:szCs w:val="24"/>
        </w:rPr>
        <w:t>/</w:t>
      </w:r>
      <w:r w:rsidR="000B78F6" w:rsidRPr="00304E33">
        <w:rPr>
          <w:rFonts w:ascii="Times New Roman" w:hAnsi="Times New Roman" w:cs="Times New Roman"/>
          <w:sz w:val="24"/>
          <w:szCs w:val="24"/>
        </w:rPr>
        <w:t>LOG</w:t>
      </w:r>
      <w:r w:rsidRPr="00304E33">
        <w:rPr>
          <w:rFonts w:ascii="Times New Roman" w:hAnsi="Times New Roman" w:cs="Times New Roman"/>
          <w:sz w:val="24"/>
          <w:szCs w:val="24"/>
        </w:rPr>
        <w:t>/2019</w:t>
      </w:r>
      <w:r w:rsidRPr="00304E33">
        <w:rPr>
          <w:rFonts w:ascii="Times New Roman" w:hAnsi="Times New Roman" w:cs="Times New Roman"/>
          <w:i/>
          <w:sz w:val="24"/>
          <w:szCs w:val="24"/>
        </w:rPr>
        <w:t xml:space="preserve"> </w:t>
      </w:r>
      <w:r w:rsidRPr="00304E33">
        <w:rPr>
          <w:rFonts w:ascii="Times New Roman" w:hAnsi="Times New Roman" w:cs="Times New Roman"/>
          <w:sz w:val="24"/>
          <w:szCs w:val="24"/>
        </w:rPr>
        <w:t>prowadzonym</w:t>
      </w:r>
      <w:r w:rsidRPr="00E77FCA">
        <w:rPr>
          <w:rFonts w:ascii="Times New Roman" w:hAnsi="Times New Roman" w:cs="Times New Roman"/>
          <w:sz w:val="24"/>
          <w:szCs w:val="24"/>
        </w:rPr>
        <w:t xml:space="preserve">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na podstawie art. 15 RODO prawo dostępu do danych osobowych Pani/Pana dotyczących;</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7722D">
      <w:pPr>
        <w:pStyle w:val="Akapitzlist"/>
        <w:numPr>
          <w:ilvl w:val="0"/>
          <w:numId w:val="6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7722D">
      <w:pPr>
        <w:pStyle w:val="Akapitzlist"/>
        <w:numPr>
          <w:ilvl w:val="0"/>
          <w:numId w:val="61"/>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7722D">
      <w:pPr>
        <w:pStyle w:val="Akapitzlist"/>
        <w:numPr>
          <w:ilvl w:val="0"/>
          <w:numId w:val="61"/>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Pr="00E77FCA" w:rsidRDefault="00B7722D" w:rsidP="00B7722D">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B7722D" w:rsidRPr="00E77FCA" w:rsidRDefault="00B7722D" w:rsidP="00B7722D">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B7722D" w:rsidRPr="00E77FCA" w:rsidRDefault="00B7722D" w:rsidP="00B7722D">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B7722D" w:rsidRDefault="00B7722D" w:rsidP="00B7722D">
      <w:pPr>
        <w:tabs>
          <w:tab w:val="left" w:pos="360"/>
        </w:tabs>
        <w:spacing w:after="0" w:line="355" w:lineRule="auto"/>
        <w:ind w:left="360" w:right="20"/>
        <w:jc w:val="both"/>
        <w:rPr>
          <w:rFonts w:ascii="Times New Roman" w:eastAsia="Times New Roman" w:hAnsi="Times New Roman"/>
          <w:sz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3F50FE"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sidRPr="003F50FE">
        <w:rPr>
          <w:rFonts w:ascii="Times New Roman" w:hAnsi="Times New Roman" w:cs="Times New Roman"/>
          <w:b/>
          <w:bCs/>
          <w:sz w:val="24"/>
          <w:szCs w:val="24"/>
        </w:rPr>
        <w:lastRenderedPageBreak/>
        <w:t>załącznik nr 1</w:t>
      </w:r>
      <w:r w:rsidR="00BE28DE" w:rsidRPr="003F50FE">
        <w:rPr>
          <w:rFonts w:ascii="Times New Roman" w:hAnsi="Times New Roman" w:cs="Times New Roman"/>
          <w:b/>
          <w:bCs/>
          <w:sz w:val="24"/>
          <w:szCs w:val="24"/>
        </w:rPr>
        <w:t xml:space="preserve"> </w:t>
      </w:r>
      <w:r w:rsidR="00BE28DE" w:rsidRPr="003F50FE">
        <w:rPr>
          <w:rFonts w:ascii="Times New Roman" w:hAnsi="Times New Roman" w:cs="Times New Roman"/>
          <w:sz w:val="24"/>
          <w:szCs w:val="24"/>
        </w:rPr>
        <w:t xml:space="preserve">– opis przedmiotu zamówienia </w:t>
      </w:r>
      <w:r w:rsidR="00320F98" w:rsidRPr="003F50FE">
        <w:rPr>
          <w:rFonts w:ascii="Times New Roman" w:hAnsi="Times New Roman" w:cs="Times New Roman"/>
          <w:sz w:val="24"/>
          <w:szCs w:val="24"/>
        </w:rPr>
        <w:t>(</w:t>
      </w:r>
      <w:r w:rsidR="00320F98" w:rsidRPr="003F50FE">
        <w:rPr>
          <w:rFonts w:ascii="Times New Roman" w:hAnsi="Times New Roman" w:cs="Times New Roman"/>
          <w:b/>
          <w:sz w:val="24"/>
          <w:szCs w:val="24"/>
        </w:rPr>
        <w:t>1A</w:t>
      </w:r>
      <w:r w:rsidR="00320F98" w:rsidRPr="003F50FE">
        <w:rPr>
          <w:rFonts w:ascii="Times New Roman" w:hAnsi="Times New Roman" w:cs="Times New Roman"/>
          <w:sz w:val="24"/>
          <w:szCs w:val="24"/>
        </w:rPr>
        <w:t xml:space="preserve"> – </w:t>
      </w:r>
      <w:proofErr w:type="spellStart"/>
      <w:r w:rsidR="00320F98"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 xml:space="preserve">; </w:t>
      </w:r>
      <w:r w:rsidR="00320F98" w:rsidRPr="003F50FE">
        <w:rPr>
          <w:rFonts w:ascii="Times New Roman" w:hAnsi="Times New Roman" w:cs="Times New Roman"/>
          <w:b/>
          <w:sz w:val="24"/>
          <w:szCs w:val="24"/>
        </w:rPr>
        <w:t>1B</w:t>
      </w:r>
      <w:r w:rsidR="00320F98" w:rsidRPr="003F50FE">
        <w:rPr>
          <w:rFonts w:ascii="Times New Roman" w:hAnsi="Times New Roman" w:cs="Times New Roman"/>
          <w:sz w:val="24"/>
          <w:szCs w:val="24"/>
        </w:rPr>
        <w:t xml:space="preserve"> – Przedmiar robót; </w:t>
      </w:r>
      <w:r w:rsidR="00320F98" w:rsidRPr="003F50FE">
        <w:rPr>
          <w:rFonts w:ascii="Times New Roman" w:hAnsi="Times New Roman" w:cs="Times New Roman"/>
          <w:b/>
          <w:sz w:val="24"/>
          <w:szCs w:val="24"/>
        </w:rPr>
        <w:t>1C</w:t>
      </w:r>
      <w:r w:rsidR="00320F98" w:rsidRPr="003F50FE">
        <w:rPr>
          <w:rFonts w:ascii="Times New Roman" w:hAnsi="Times New Roman" w:cs="Times New Roman"/>
          <w:sz w:val="24"/>
          <w:szCs w:val="24"/>
        </w:rPr>
        <w:t xml:space="preserve"> – Projekt </w:t>
      </w:r>
      <w:r w:rsidR="005674BF" w:rsidRPr="003F50FE">
        <w:rPr>
          <w:rFonts w:ascii="Times New Roman" w:hAnsi="Times New Roman" w:cs="Times New Roman"/>
          <w:sz w:val="24"/>
          <w:szCs w:val="24"/>
        </w:rPr>
        <w:t>(rysunki, zdjęcia)</w:t>
      </w:r>
      <w:r w:rsidR="00320F98" w:rsidRPr="003F50FE">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991BC4">
        <w:rPr>
          <w:rFonts w:ascii="Times New Roman" w:hAnsi="Times New Roman" w:cs="Times New Roman"/>
          <w:sz w:val="24"/>
          <w:szCs w:val="24"/>
        </w:rPr>
        <w:t>;</w:t>
      </w:r>
    </w:p>
    <w:p w:rsidR="00991BC4" w:rsidRPr="00190EB8" w:rsidRDefault="00991BC4"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AA1" w:rsidRDefault="00D13AA1" w:rsidP="00BB2E15">
      <w:pPr>
        <w:spacing w:after="0" w:line="240" w:lineRule="auto"/>
      </w:pPr>
      <w:r>
        <w:separator/>
      </w:r>
    </w:p>
  </w:endnote>
  <w:endnote w:type="continuationSeparator" w:id="0">
    <w:p w:rsidR="00D13AA1" w:rsidRDefault="00D13AA1"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2C" w:rsidRPr="00BB2E15" w:rsidRDefault="00DB442C"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sidR="00817F16">
      <w:rPr>
        <w:rStyle w:val="Numerstrony"/>
        <w:rFonts w:ascii="Times New Roman" w:hAnsi="Times New Roman" w:cs="Times New Roman"/>
        <w:b/>
        <w:bCs/>
        <w:i/>
        <w:iCs/>
        <w:sz w:val="20"/>
        <w:szCs w:val="20"/>
      </w:rPr>
      <w:t>5</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3F50FE">
      <w:rPr>
        <w:rStyle w:val="Numerstrony"/>
        <w:rFonts w:ascii="Times New Roman" w:hAnsi="Times New Roman" w:cs="Times New Roman"/>
        <w:b/>
        <w:bCs/>
        <w:i/>
        <w:iCs/>
        <w:noProof/>
        <w:sz w:val="20"/>
        <w:szCs w:val="20"/>
      </w:rPr>
      <w:t>2</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3F50FE">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p>
  <w:p w:rsidR="00DB442C" w:rsidRDefault="00DB44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AA1" w:rsidRDefault="00D13AA1" w:rsidP="00BB2E15">
      <w:pPr>
        <w:spacing w:after="0" w:line="240" w:lineRule="auto"/>
      </w:pPr>
      <w:r>
        <w:separator/>
      </w:r>
    </w:p>
  </w:footnote>
  <w:footnote w:type="continuationSeparator" w:id="0">
    <w:p w:rsidR="00D13AA1" w:rsidRDefault="00D13AA1" w:rsidP="00BB2E15">
      <w:pPr>
        <w:spacing w:after="0" w:line="240" w:lineRule="auto"/>
      </w:pPr>
      <w:r>
        <w:continuationSeparator/>
      </w:r>
    </w:p>
  </w:footnote>
  <w:footnote w:id="1">
    <w:p w:rsidR="00DB442C" w:rsidRDefault="00DB442C"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6"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657E57"/>
    <w:multiLevelType w:val="multilevel"/>
    <w:tmpl w:val="6742AA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61"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62"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3"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2"/>
  </w:num>
  <w:num w:numId="3">
    <w:abstractNumId w:val="48"/>
  </w:num>
  <w:num w:numId="4">
    <w:abstractNumId w:val="55"/>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61"/>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50"/>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9"/>
  </w:num>
  <w:num w:numId="46">
    <w:abstractNumId w:val="41"/>
  </w:num>
  <w:num w:numId="47">
    <w:abstractNumId w:val="42"/>
  </w:num>
  <w:num w:numId="48">
    <w:abstractNumId w:val="43"/>
  </w:num>
  <w:num w:numId="49">
    <w:abstractNumId w:val="60"/>
  </w:num>
  <w:num w:numId="50">
    <w:abstractNumId w:val="54"/>
  </w:num>
  <w:num w:numId="51">
    <w:abstractNumId w:val="3"/>
  </w:num>
  <w:num w:numId="52">
    <w:abstractNumId w:val="44"/>
  </w:num>
  <w:num w:numId="53">
    <w:abstractNumId w:val="4"/>
  </w:num>
  <w:num w:numId="54">
    <w:abstractNumId w:val="62"/>
  </w:num>
  <w:num w:numId="55">
    <w:abstractNumId w:val="47"/>
  </w:num>
  <w:num w:numId="56">
    <w:abstractNumId w:val="56"/>
  </w:num>
  <w:num w:numId="57">
    <w:abstractNumId w:val="63"/>
  </w:num>
  <w:num w:numId="58">
    <w:abstractNumId w:val="57"/>
  </w:num>
  <w:num w:numId="59">
    <w:abstractNumId w:val="51"/>
  </w:num>
  <w:num w:numId="60">
    <w:abstractNumId w:val="49"/>
  </w:num>
  <w:num w:numId="61">
    <w:abstractNumId w:val="53"/>
  </w:num>
  <w:num w:numId="62">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102B7"/>
    <w:rsid w:val="00020506"/>
    <w:rsid w:val="000235E5"/>
    <w:rsid w:val="00041A1B"/>
    <w:rsid w:val="000501FF"/>
    <w:rsid w:val="00051881"/>
    <w:rsid w:val="000939A5"/>
    <w:rsid w:val="00095E04"/>
    <w:rsid w:val="000B1196"/>
    <w:rsid w:val="000B5C01"/>
    <w:rsid w:val="000B78F6"/>
    <w:rsid w:val="000C7C4F"/>
    <w:rsid w:val="000D0EE8"/>
    <w:rsid w:val="000D4301"/>
    <w:rsid w:val="000D52E8"/>
    <w:rsid w:val="000E01EB"/>
    <w:rsid w:val="000E1F0F"/>
    <w:rsid w:val="000E48BC"/>
    <w:rsid w:val="000E62B5"/>
    <w:rsid w:val="00103B60"/>
    <w:rsid w:val="001163B5"/>
    <w:rsid w:val="001167A4"/>
    <w:rsid w:val="0012539D"/>
    <w:rsid w:val="001311F0"/>
    <w:rsid w:val="001323CA"/>
    <w:rsid w:val="00144581"/>
    <w:rsid w:val="00145176"/>
    <w:rsid w:val="00161848"/>
    <w:rsid w:val="00161A23"/>
    <w:rsid w:val="00185432"/>
    <w:rsid w:val="00190EB8"/>
    <w:rsid w:val="001A468F"/>
    <w:rsid w:val="001C2AA4"/>
    <w:rsid w:val="001C3FC9"/>
    <w:rsid w:val="001D77C1"/>
    <w:rsid w:val="001E5FCE"/>
    <w:rsid w:val="001F47D8"/>
    <w:rsid w:val="0021159C"/>
    <w:rsid w:val="00223432"/>
    <w:rsid w:val="00223D9E"/>
    <w:rsid w:val="002345D8"/>
    <w:rsid w:val="0025477F"/>
    <w:rsid w:val="002616BE"/>
    <w:rsid w:val="00271C87"/>
    <w:rsid w:val="0027736F"/>
    <w:rsid w:val="00285EFC"/>
    <w:rsid w:val="00286172"/>
    <w:rsid w:val="00291FFD"/>
    <w:rsid w:val="002A1119"/>
    <w:rsid w:val="002A5004"/>
    <w:rsid w:val="002B3B9B"/>
    <w:rsid w:val="002E23A0"/>
    <w:rsid w:val="002E2A58"/>
    <w:rsid w:val="00304E33"/>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5175"/>
    <w:rsid w:val="003C2F5A"/>
    <w:rsid w:val="003C3273"/>
    <w:rsid w:val="003C5419"/>
    <w:rsid w:val="003C7B9E"/>
    <w:rsid w:val="003F0C51"/>
    <w:rsid w:val="003F50FE"/>
    <w:rsid w:val="00407490"/>
    <w:rsid w:val="0041461F"/>
    <w:rsid w:val="0041642A"/>
    <w:rsid w:val="00417696"/>
    <w:rsid w:val="00417A0C"/>
    <w:rsid w:val="00420560"/>
    <w:rsid w:val="004315E9"/>
    <w:rsid w:val="004333B7"/>
    <w:rsid w:val="00444A2B"/>
    <w:rsid w:val="00444C56"/>
    <w:rsid w:val="0045592C"/>
    <w:rsid w:val="00460EC8"/>
    <w:rsid w:val="004730D1"/>
    <w:rsid w:val="0047552E"/>
    <w:rsid w:val="00486C6C"/>
    <w:rsid w:val="004920CF"/>
    <w:rsid w:val="00496492"/>
    <w:rsid w:val="00497DFD"/>
    <w:rsid w:val="004A1843"/>
    <w:rsid w:val="004A3939"/>
    <w:rsid w:val="004A720A"/>
    <w:rsid w:val="004B1159"/>
    <w:rsid w:val="004C04D7"/>
    <w:rsid w:val="004D1661"/>
    <w:rsid w:val="004D1DF7"/>
    <w:rsid w:val="004D2943"/>
    <w:rsid w:val="004D682D"/>
    <w:rsid w:val="004E0BA1"/>
    <w:rsid w:val="004E1D95"/>
    <w:rsid w:val="004E7A83"/>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674BF"/>
    <w:rsid w:val="00570DEE"/>
    <w:rsid w:val="005720CE"/>
    <w:rsid w:val="00573C2E"/>
    <w:rsid w:val="005839CD"/>
    <w:rsid w:val="00585A62"/>
    <w:rsid w:val="0059229C"/>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16962"/>
    <w:rsid w:val="00616DAF"/>
    <w:rsid w:val="00623BA4"/>
    <w:rsid w:val="00644706"/>
    <w:rsid w:val="006609F8"/>
    <w:rsid w:val="00666EBA"/>
    <w:rsid w:val="00682CEC"/>
    <w:rsid w:val="006830D6"/>
    <w:rsid w:val="00692FCD"/>
    <w:rsid w:val="006963DB"/>
    <w:rsid w:val="006A0AF1"/>
    <w:rsid w:val="006A0F77"/>
    <w:rsid w:val="006B0305"/>
    <w:rsid w:val="006C759A"/>
    <w:rsid w:val="006E2DE4"/>
    <w:rsid w:val="006F06C0"/>
    <w:rsid w:val="006F7BAE"/>
    <w:rsid w:val="00701EA2"/>
    <w:rsid w:val="00725E6B"/>
    <w:rsid w:val="007353AE"/>
    <w:rsid w:val="0073557D"/>
    <w:rsid w:val="007447AA"/>
    <w:rsid w:val="007453E8"/>
    <w:rsid w:val="0075156F"/>
    <w:rsid w:val="00751967"/>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17F16"/>
    <w:rsid w:val="00820053"/>
    <w:rsid w:val="00825152"/>
    <w:rsid w:val="00826E0E"/>
    <w:rsid w:val="008303C6"/>
    <w:rsid w:val="00830D8A"/>
    <w:rsid w:val="00852CA8"/>
    <w:rsid w:val="0085560D"/>
    <w:rsid w:val="00861119"/>
    <w:rsid w:val="008856DE"/>
    <w:rsid w:val="0088597B"/>
    <w:rsid w:val="0088663E"/>
    <w:rsid w:val="008B2BA8"/>
    <w:rsid w:val="008C0FD0"/>
    <w:rsid w:val="008C6121"/>
    <w:rsid w:val="008C7E27"/>
    <w:rsid w:val="008D49B7"/>
    <w:rsid w:val="008E3011"/>
    <w:rsid w:val="008F0AD0"/>
    <w:rsid w:val="008F408A"/>
    <w:rsid w:val="009071BD"/>
    <w:rsid w:val="00907A7A"/>
    <w:rsid w:val="00916A8D"/>
    <w:rsid w:val="009200B4"/>
    <w:rsid w:val="009219F4"/>
    <w:rsid w:val="00942CC0"/>
    <w:rsid w:val="0094715B"/>
    <w:rsid w:val="009479DA"/>
    <w:rsid w:val="00952FEF"/>
    <w:rsid w:val="00954808"/>
    <w:rsid w:val="00957E1C"/>
    <w:rsid w:val="009656D9"/>
    <w:rsid w:val="00967E2B"/>
    <w:rsid w:val="00972E43"/>
    <w:rsid w:val="00974ACB"/>
    <w:rsid w:val="0098294D"/>
    <w:rsid w:val="00991BC4"/>
    <w:rsid w:val="009975A7"/>
    <w:rsid w:val="009A56E2"/>
    <w:rsid w:val="009A6635"/>
    <w:rsid w:val="009B2000"/>
    <w:rsid w:val="009C11CC"/>
    <w:rsid w:val="009C16A1"/>
    <w:rsid w:val="009C1E84"/>
    <w:rsid w:val="009C487F"/>
    <w:rsid w:val="009C505F"/>
    <w:rsid w:val="009C61DF"/>
    <w:rsid w:val="009D1A9C"/>
    <w:rsid w:val="009E013B"/>
    <w:rsid w:val="009E4C15"/>
    <w:rsid w:val="009E700B"/>
    <w:rsid w:val="00A00BF0"/>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C5A27"/>
    <w:rsid w:val="00AD1532"/>
    <w:rsid w:val="00AE21EF"/>
    <w:rsid w:val="00AE3E9D"/>
    <w:rsid w:val="00AE52C2"/>
    <w:rsid w:val="00AF1D31"/>
    <w:rsid w:val="00AF2129"/>
    <w:rsid w:val="00AF3003"/>
    <w:rsid w:val="00AF69EC"/>
    <w:rsid w:val="00B02630"/>
    <w:rsid w:val="00B117BC"/>
    <w:rsid w:val="00B12200"/>
    <w:rsid w:val="00B14841"/>
    <w:rsid w:val="00B26853"/>
    <w:rsid w:val="00B27535"/>
    <w:rsid w:val="00B27FB4"/>
    <w:rsid w:val="00B341AD"/>
    <w:rsid w:val="00B554DC"/>
    <w:rsid w:val="00B57CF9"/>
    <w:rsid w:val="00B6099B"/>
    <w:rsid w:val="00B6180D"/>
    <w:rsid w:val="00B72289"/>
    <w:rsid w:val="00B74FA2"/>
    <w:rsid w:val="00B75BC7"/>
    <w:rsid w:val="00B7713B"/>
    <w:rsid w:val="00B7722D"/>
    <w:rsid w:val="00B8085E"/>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2D09"/>
    <w:rsid w:val="00C04170"/>
    <w:rsid w:val="00C04C2A"/>
    <w:rsid w:val="00C112E4"/>
    <w:rsid w:val="00C12221"/>
    <w:rsid w:val="00C15B0E"/>
    <w:rsid w:val="00C3164D"/>
    <w:rsid w:val="00C33A4C"/>
    <w:rsid w:val="00C367ED"/>
    <w:rsid w:val="00C36913"/>
    <w:rsid w:val="00C52579"/>
    <w:rsid w:val="00C53D98"/>
    <w:rsid w:val="00C61EB0"/>
    <w:rsid w:val="00C72EB6"/>
    <w:rsid w:val="00C809FF"/>
    <w:rsid w:val="00C85CF3"/>
    <w:rsid w:val="00C86A21"/>
    <w:rsid w:val="00C978CA"/>
    <w:rsid w:val="00CA2CAC"/>
    <w:rsid w:val="00CA3B42"/>
    <w:rsid w:val="00CA4BEA"/>
    <w:rsid w:val="00CA7395"/>
    <w:rsid w:val="00CA73F3"/>
    <w:rsid w:val="00CB17EB"/>
    <w:rsid w:val="00CD0A90"/>
    <w:rsid w:val="00CD1E8D"/>
    <w:rsid w:val="00CD743F"/>
    <w:rsid w:val="00CE53B7"/>
    <w:rsid w:val="00CE5B2A"/>
    <w:rsid w:val="00D05199"/>
    <w:rsid w:val="00D12CC2"/>
    <w:rsid w:val="00D13A5E"/>
    <w:rsid w:val="00D13AA1"/>
    <w:rsid w:val="00D15830"/>
    <w:rsid w:val="00D16BB4"/>
    <w:rsid w:val="00D204D2"/>
    <w:rsid w:val="00D24199"/>
    <w:rsid w:val="00D32AF1"/>
    <w:rsid w:val="00D37F18"/>
    <w:rsid w:val="00D42AC2"/>
    <w:rsid w:val="00D47316"/>
    <w:rsid w:val="00D508E0"/>
    <w:rsid w:val="00D63862"/>
    <w:rsid w:val="00D64A0A"/>
    <w:rsid w:val="00D67CFD"/>
    <w:rsid w:val="00D77F97"/>
    <w:rsid w:val="00D87321"/>
    <w:rsid w:val="00D92F84"/>
    <w:rsid w:val="00D94C11"/>
    <w:rsid w:val="00DA03E8"/>
    <w:rsid w:val="00DA78FC"/>
    <w:rsid w:val="00DB442C"/>
    <w:rsid w:val="00DC539F"/>
    <w:rsid w:val="00DC745A"/>
    <w:rsid w:val="00DD5BB2"/>
    <w:rsid w:val="00DE093C"/>
    <w:rsid w:val="00DE2BE9"/>
    <w:rsid w:val="00DE55A2"/>
    <w:rsid w:val="00DF2E81"/>
    <w:rsid w:val="00DF5BA1"/>
    <w:rsid w:val="00DF6616"/>
    <w:rsid w:val="00DF6FDD"/>
    <w:rsid w:val="00E1001D"/>
    <w:rsid w:val="00E1006F"/>
    <w:rsid w:val="00E2218C"/>
    <w:rsid w:val="00E25F1D"/>
    <w:rsid w:val="00E37913"/>
    <w:rsid w:val="00E47BEA"/>
    <w:rsid w:val="00E6568B"/>
    <w:rsid w:val="00E667C7"/>
    <w:rsid w:val="00E71D6D"/>
    <w:rsid w:val="00E73F05"/>
    <w:rsid w:val="00E833DD"/>
    <w:rsid w:val="00E862C1"/>
    <w:rsid w:val="00E91D2D"/>
    <w:rsid w:val="00E97B40"/>
    <w:rsid w:val="00EC7C49"/>
    <w:rsid w:val="00ED0E7C"/>
    <w:rsid w:val="00ED508F"/>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01B13"/>
  <w15:docId w15:val="{8A312771-9CA1-4A7B-BB18-C81FB468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8498</TotalTime>
  <Pages>32</Pages>
  <Words>8240</Words>
  <Characters>49440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406</cp:revision>
  <cp:lastPrinted>2017-01-31T09:08:00Z</cp:lastPrinted>
  <dcterms:created xsi:type="dcterms:W3CDTF">2016-09-26T10:03:00Z</dcterms:created>
  <dcterms:modified xsi:type="dcterms:W3CDTF">2019-02-26T12:42:00Z</dcterms:modified>
</cp:coreProperties>
</file>