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97124C"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r>
                    <w:rPr>
                      <w:rFonts w:ascii="Times New Roman" w:hAnsi="Times New Roman" w:cs="Times New Roman"/>
                    </w:rPr>
                    <w:t>Załącznik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EB69F2">
        <w:rPr>
          <w:lang w:val="pl-PL"/>
        </w:rPr>
        <w:t>postępowania 17</w:t>
      </w:r>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r w:rsidR="00174D28" w:rsidRPr="00174D28">
        <w:rPr>
          <w:bCs/>
          <w:sz w:val="23"/>
          <w:szCs w:val="23"/>
        </w:rPr>
        <w:t>budowa przyłącza wodociągowego do budynku nr 90, na terenie 6 Szpitala Wojskowego z Przychodnią – SP ZOZ w Dęblinie, ul. Szpitalna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EB69F2">
        <w:rPr>
          <w:lang w:val="pl-PL" w:eastAsia="pl-PL"/>
        </w:rPr>
        <w:t>15</w:t>
      </w:r>
      <w:r w:rsidRPr="003239EF">
        <w:rPr>
          <w:lang w:val="pl-PL" w:eastAsia="pl-PL"/>
        </w:rPr>
        <w:t>.0</w:t>
      </w:r>
      <w:r w:rsidR="00EB69F2">
        <w:rPr>
          <w:lang w:val="pl-PL" w:eastAsia="pl-PL"/>
        </w:rPr>
        <w:t>7</w:t>
      </w:r>
      <w:bookmarkStart w:id="0" w:name="_GoBack"/>
      <w:bookmarkEnd w:id="0"/>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placy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w:t>
      </w:r>
      <w:r w:rsidRPr="00DA08AD">
        <w:rPr>
          <w:lang w:val="pl-PL"/>
        </w:rPr>
        <w:lastRenderedPageBreak/>
        <w:t>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Przekazanie Wykonawcy dziennika budowy.</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Zapewnienie nadzoru.</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r w:rsidRPr="00DA08AD">
        <w:rPr>
          <w:snapToGrid w:val="0"/>
        </w:rPr>
        <w:t>Odebranie wykonanych robót.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ochronę mienia,</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oznakowanie terenu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zapewnienie zabezpieczenia przeciwpożarowego,</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inwentaryzacja powykonawcza geodezyjna),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(STWiOR).</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Zamawiający powoła komisję, która wraz z Inspektorem Nadzoru niezwłocznie, jednak nie później w terminie opisanym w STWiOR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r w:rsidRPr="00DA08AD">
        <w:rPr>
          <w:b/>
          <w:bCs/>
          <w:snapToGrid w:val="0"/>
        </w:rPr>
        <w:t>Rękojmia</w:t>
      </w:r>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r w:rsidRPr="00DA08AD">
        <w:rPr>
          <w:snapToGrid w:val="0"/>
        </w:rPr>
        <w:t>przekazania placu budowy,</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Wykonawca będzie pozostawał w pełni odpowiedzialny w stosunku do Zamawiającego za zlecone do podwykonania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5. W odniesieniu do podwykonawswtwa,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Na podstawie art. 144 ustawy Pzp,</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4C" w:rsidRDefault="0097124C" w:rsidP="00C81A7F">
      <w:r>
        <w:separator/>
      </w:r>
    </w:p>
  </w:endnote>
  <w:endnote w:type="continuationSeparator" w:id="0">
    <w:p w:rsidR="0097124C" w:rsidRDefault="0097124C"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4C" w:rsidRDefault="0097124C" w:rsidP="00C81A7F">
      <w:r>
        <w:separator/>
      </w:r>
    </w:p>
  </w:footnote>
  <w:footnote w:type="continuationSeparator" w:id="0">
    <w:p w:rsidR="0097124C" w:rsidRDefault="0097124C"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51AA4"/>
    <w:rsid w:val="000568EE"/>
    <w:rsid w:val="00067103"/>
    <w:rsid w:val="00080633"/>
    <w:rsid w:val="00084D51"/>
    <w:rsid w:val="000A6ED9"/>
    <w:rsid w:val="000B2858"/>
    <w:rsid w:val="000D5694"/>
    <w:rsid w:val="000F79F5"/>
    <w:rsid w:val="00123CF4"/>
    <w:rsid w:val="00155F22"/>
    <w:rsid w:val="00174D28"/>
    <w:rsid w:val="00193BF1"/>
    <w:rsid w:val="001A3C56"/>
    <w:rsid w:val="001A4E34"/>
    <w:rsid w:val="00255CC1"/>
    <w:rsid w:val="002A7B55"/>
    <w:rsid w:val="003061DC"/>
    <w:rsid w:val="003239EF"/>
    <w:rsid w:val="00365D0A"/>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D026F"/>
    <w:rsid w:val="007362A1"/>
    <w:rsid w:val="0075110F"/>
    <w:rsid w:val="00786FEC"/>
    <w:rsid w:val="008538E2"/>
    <w:rsid w:val="00882D23"/>
    <w:rsid w:val="00893057"/>
    <w:rsid w:val="008B0AE3"/>
    <w:rsid w:val="008C0DDE"/>
    <w:rsid w:val="008F1129"/>
    <w:rsid w:val="009547BF"/>
    <w:rsid w:val="0097124C"/>
    <w:rsid w:val="00A6184F"/>
    <w:rsid w:val="00A65DF7"/>
    <w:rsid w:val="00B04AF4"/>
    <w:rsid w:val="00B11BDA"/>
    <w:rsid w:val="00B14A18"/>
    <w:rsid w:val="00B14AE8"/>
    <w:rsid w:val="00B22C18"/>
    <w:rsid w:val="00B64D3D"/>
    <w:rsid w:val="00C81A7F"/>
    <w:rsid w:val="00CD3D13"/>
    <w:rsid w:val="00CE7C24"/>
    <w:rsid w:val="00D31DC1"/>
    <w:rsid w:val="00DA08AD"/>
    <w:rsid w:val="00DB7E20"/>
    <w:rsid w:val="00E33033"/>
    <w:rsid w:val="00E42706"/>
    <w:rsid w:val="00E449C3"/>
    <w:rsid w:val="00E729E4"/>
    <w:rsid w:val="00EB6528"/>
    <w:rsid w:val="00EB69F2"/>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383D68"/>
  <w15:docId w15:val="{9FCC441A-E6BA-4A8C-A99D-172DBA4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 w:type="paragraph" w:styleId="Nagwek">
    <w:name w:val="header"/>
    <w:basedOn w:val="Normalny"/>
    <w:link w:val="NagwekZnak"/>
    <w:uiPriority w:val="99"/>
    <w:unhideWhenUsed/>
    <w:rsid w:val="00A6184F"/>
    <w:pPr>
      <w:tabs>
        <w:tab w:val="center" w:pos="4536"/>
        <w:tab w:val="right" w:pos="9072"/>
      </w:tabs>
    </w:pPr>
  </w:style>
  <w:style w:type="character" w:customStyle="1" w:styleId="NagwekZnak">
    <w:name w:val="Nagłówek Znak"/>
    <w:link w:val="Nagwek"/>
    <w:uiPriority w:val="99"/>
    <w:rsid w:val="00A6184F"/>
    <w:rPr>
      <w:rFonts w:ascii="Times New Roman" w:eastAsia="Times New Roman" w:hAnsi="Times New Roman"/>
      <w:sz w:val="24"/>
      <w:szCs w:val="24"/>
      <w:lang w:val="en-US" w:eastAsia="en-US"/>
    </w:rPr>
  </w:style>
  <w:style w:type="paragraph" w:styleId="Stopka">
    <w:name w:val="footer"/>
    <w:basedOn w:val="Normalny"/>
    <w:link w:val="StopkaZnak"/>
    <w:uiPriority w:val="99"/>
    <w:unhideWhenUsed/>
    <w:rsid w:val="00A6184F"/>
    <w:pPr>
      <w:tabs>
        <w:tab w:val="center" w:pos="4536"/>
        <w:tab w:val="right" w:pos="9072"/>
      </w:tabs>
    </w:pPr>
  </w:style>
  <w:style w:type="character" w:customStyle="1" w:styleId="StopkaZnak">
    <w:name w:val="Stopka Znak"/>
    <w:link w:val="Stopka"/>
    <w:uiPriority w:val="99"/>
    <w:rsid w:val="00A6184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17</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53</cp:revision>
  <dcterms:created xsi:type="dcterms:W3CDTF">2017-01-10T20:16:00Z</dcterms:created>
  <dcterms:modified xsi:type="dcterms:W3CDTF">2018-05-09T12:52:00Z</dcterms:modified>
</cp:coreProperties>
</file>